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акт приема предметов на временное хранение для рассмотрения ЭФЗК (акт ВХ ЭФЗК) или его копия. Акт ВХ ЭФЗК содержит следующую информацию: номер и дата акта; фамилия, имя, отчество (при наличии), должность сотрудника музея, принявшего предмет на ответственное хранение; фамилия, имя, отчество (при наличии) физического </w:t>
      </w:r>
      <w:proofErr w:type="gramStart"/>
      <w:r>
        <w:rPr>
          <w:color w:val="000000"/>
        </w:rPr>
        <w:t>лица)/</w:t>
      </w:r>
      <w:proofErr w:type="gramEnd"/>
      <w:r>
        <w:rPr>
          <w:color w:val="000000"/>
        </w:rPr>
        <w:t>название организации - владельца предмета; наименование и краткое описание предметов, место и время создания; количество передаваемых предметов; сохранность предметов на момент передачи);</w:t>
      </w:r>
      <w:bookmarkStart w:id="0" w:name="l527"/>
      <w:bookmarkStart w:id="1" w:name="l33"/>
      <w:bookmarkEnd w:id="0"/>
      <w:bookmarkEnd w:id="1"/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фотографии предметов (при необходимости).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Экспертное заключение составляется на основании мнений членов ЭФЗК и представленных заключений специалистов.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4.3.</w:t>
      </w:r>
      <w:r>
        <w:rPr>
          <w:color w:val="000000"/>
        </w:rPr>
        <w:t>Структурным подразделением музея, осуществляющим функции учета музейных предметов, оформляется акт приема-передачи музейных предметов на постоянное хранение (далее - акт ПХ).</w:t>
      </w:r>
      <w:bookmarkStart w:id="2" w:name="l528"/>
      <w:bookmarkEnd w:id="2"/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Принятые музейные предметы перечисляются в акте ПХ по порядку с кратким описанием каталожных данных (автор, наименование предмета, краткое описание, размеры, материал, техника, клейма, подписи, сохранность, монтировка (в раме, под стеклом), указывается способ приобретения (например, закупка, пожертвование).</w:t>
      </w:r>
      <w:bookmarkStart w:id="3" w:name="l34"/>
      <w:bookmarkEnd w:id="3"/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4.4.</w:t>
      </w:r>
      <w:r>
        <w:rPr>
          <w:color w:val="000000"/>
        </w:rPr>
        <w:t>Акт ПХ составляется в нескольких экземплярах (не менее трех), подписывается лицами, принявшими и сдавшими предметы, утверждается руководителем, скрепляется печатью музея и регистрируется в книге регистрации актов приема-передачи предметов на постоянное хранение. Все подписи в акте должны быть расшифрованы.</w:t>
      </w:r>
      <w:bookmarkStart w:id="4" w:name="l529"/>
      <w:bookmarkEnd w:id="4"/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4.5.</w:t>
      </w:r>
      <w:r>
        <w:rPr>
          <w:color w:val="000000"/>
        </w:rPr>
        <w:t>При оформлении музейного предмета на постоянное хранение музеем формируется следующий комплект документов: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акт ПХ;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договор, или иной документ, подтверждающий передачу предметов;</w:t>
      </w:r>
      <w:bookmarkStart w:id="5" w:name="l35"/>
      <w:bookmarkEnd w:id="5"/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протокол ЭФЗК или выписка из протокола ЭФЗК;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утвержденное ЭФЗК экспертное заключение об историко-культурной, художественной, научной и иной ценности принимаемых предметов; </w:t>
      </w:r>
      <w:r>
        <w:rPr>
          <w:rStyle w:val="dt-r"/>
          <w:color w:val="808080"/>
        </w:rPr>
        <w:t>(в ред. Приказа Минкультуры РФ </w:t>
      </w:r>
      <w:hyperlink r:id="rId4" w:anchor="l11" w:tgtFrame="_blank" w:history="1">
        <w:r>
          <w:rPr>
            <w:rStyle w:val="a3"/>
            <w:color w:val="808080"/>
            <w:u w:val="none"/>
          </w:rPr>
          <w:t>от 26.08.2021 N 1414</w:t>
        </w:r>
      </w:hyperlink>
      <w:r>
        <w:rPr>
          <w:rStyle w:val="dt-r"/>
          <w:color w:val="808080"/>
        </w:rPr>
        <w:t>)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научно-техническая экспертиза (при наличии);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акт ВХ ЭФЗК (при наличии);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акт ювелирной экспертизы принимаемых предметов (для предметов, содержащих драгоценные металлы или драгоценные камни).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4.6.</w:t>
      </w:r>
      <w:r>
        <w:rPr>
          <w:color w:val="000000"/>
        </w:rPr>
        <w:t>Прием государственных наград и документов к ним на постоянное хранение в музей осуществляется с учетом Положения о государственных наградах Российской Федерации, утвержденного Указом Президента Российской Федерации от 7 сентября 2010 г. N 1099 &lt;3&gt;.</w:t>
      </w:r>
      <w:bookmarkStart w:id="6" w:name="l36"/>
      <w:bookmarkEnd w:id="6"/>
    </w:p>
    <w:p w:rsidR="009A3118" w:rsidRDefault="009A3118" w:rsidP="009A3118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&lt;3&gt; Собрание законодательства Российской Федерации, 2010, N 37, ст. 4643; 2020, N 41, ст. 6395.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4.7.</w:t>
      </w:r>
      <w:r>
        <w:rPr>
          <w:color w:val="000000"/>
        </w:rPr>
        <w:t>При первичной регистрации после утверждения результатов экспертизы культурных ценностей на заседании ЭФЗК и оформления акта ПХ структурное подразделение музея, осуществляющее функции учета музейных предметов, в течение 30 календарных дней со дня утверждения результатов экспертизы культурных ценностей осуществляет регистрацию музейных предметов в ГИК, книгах поступлений научно-вспомогательного фонда, фонда сырьевых материалов, экспериментального фонда, фонда массовых археологических предметов или иных фондов, образованных по согласованию с учредителем музея.</w:t>
      </w:r>
      <w:bookmarkStart w:id="7" w:name="l530"/>
      <w:bookmarkStart w:id="8" w:name="l37"/>
      <w:bookmarkEnd w:id="7"/>
      <w:bookmarkEnd w:id="8"/>
      <w:r>
        <w:rPr>
          <w:color w:val="000000"/>
        </w:rPr>
        <w:t> </w:t>
      </w:r>
      <w:r>
        <w:rPr>
          <w:rStyle w:val="dt-r"/>
          <w:color w:val="808080"/>
        </w:rPr>
        <w:t>(в ред. Приказа Минкультуры РФ </w:t>
      </w:r>
      <w:hyperlink r:id="rId5" w:anchor="l11" w:tgtFrame="_blank" w:history="1">
        <w:r>
          <w:rPr>
            <w:rStyle w:val="a3"/>
            <w:color w:val="808080"/>
            <w:u w:val="none"/>
          </w:rPr>
          <w:t>от 26.08.2021 N 1414</w:t>
        </w:r>
      </w:hyperlink>
      <w:r>
        <w:rPr>
          <w:rStyle w:val="dt-r"/>
          <w:color w:val="808080"/>
        </w:rPr>
        <w:t>)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Особенности регистрации археологических предметов в ГИК определены главой LV Единых правил. </w:t>
      </w:r>
      <w:r>
        <w:rPr>
          <w:rStyle w:val="dt-r"/>
          <w:color w:val="808080"/>
        </w:rPr>
        <w:t>(в ред. Приказа Минкультуры РФ </w:t>
      </w:r>
      <w:hyperlink r:id="rId6" w:anchor="l11" w:tgtFrame="_blank" w:history="1">
        <w:r>
          <w:rPr>
            <w:rStyle w:val="a3"/>
            <w:color w:val="808080"/>
            <w:u w:val="none"/>
          </w:rPr>
          <w:t>от 26.08.2021 N 1414</w:t>
        </w:r>
      </w:hyperlink>
      <w:r>
        <w:rPr>
          <w:rStyle w:val="dt-r"/>
          <w:color w:val="808080"/>
        </w:rPr>
        <w:t>)</w:t>
      </w:r>
      <w:bookmarkStart w:id="9" w:name="l1012"/>
      <w:bookmarkEnd w:id="9"/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4.8.</w:t>
      </w:r>
      <w:r>
        <w:rPr>
          <w:color w:val="000000"/>
        </w:rPr>
        <w:t>В ГИК вносятся следующие данные (форма приведена в Приложении N 2 к Единым правилам):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дата регистрации музейных предметов;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краткие сведения об авторе, школе, времени и месте создания, производства, находки и другие;</w:t>
      </w:r>
      <w:bookmarkStart w:id="10" w:name="l1011"/>
      <w:bookmarkEnd w:id="10"/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краткое описание визуальных характеристик предмета, в том числе наличие клейм, марок, подписей на нем, или коллекции с характерными отличительными особенностями, достаточными для их идентификации;</w:t>
      </w:r>
      <w:bookmarkStart w:id="11" w:name="l531"/>
      <w:bookmarkEnd w:id="11"/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количество зарегистрированных предметов;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материал, техника изготовления, размеры;</w:t>
      </w:r>
      <w:bookmarkStart w:id="12" w:name="l38"/>
      <w:bookmarkEnd w:id="12"/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состояние сохранности на момент регистрации (допускается не вносить описание состояния сохранности в КП, при наличии его в акте поступления в музей);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источник и форма поступления (закупка, дарение, пожертвование, завещание, обмен), номера и даты акта ПХ;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названия и шифр фондовой коллекции, в которую включается предмет, учетные обозначения по инвентарным и специальным инвентарным книгам после проведения инвентаризации.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4.9.</w:t>
      </w:r>
      <w:r>
        <w:rPr>
          <w:color w:val="000000"/>
        </w:rPr>
        <w:t>При регистрации каждому музейному предмету присваивается порядковый номер, который является их постоянным учетным обозначением.</w:t>
      </w:r>
      <w:bookmarkStart w:id="13" w:name="l39"/>
      <w:bookmarkEnd w:id="13"/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случае, если музейные предметы имеют малые размеры (мелкие плоды и семена), являются россыпью (геологические образцы, образцы почвы и другие), им присваивается один учетный номер.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4.10.</w:t>
      </w:r>
      <w:r>
        <w:rPr>
          <w:color w:val="000000"/>
        </w:rPr>
        <w:t xml:space="preserve">При одновременном поступлении большого количества однородных предметов (археология, нумизматика, этнография, графические произведения, планы, чертежи, карты, архивные документы, естественно-научные коллекции) или мемориальных комплексов, каждый из которых в отдельности может представлять собой </w:t>
      </w:r>
      <w:r>
        <w:rPr>
          <w:color w:val="000000"/>
        </w:rPr>
        <w:lastRenderedPageBreak/>
        <w:t>самостоятельную учетную единицу - сервизы, гарнитуры мебели, альбомы рисунков, гравюр, литографий, образцов тканей, фотографий, вложенных в специальные прорези альбомов и других предметов, образцы холодного и огнестрельного оружия (кортик с ножнами, сабля в ножнах с темляком, ружье со штыком), одежды (мундир с эполетами), икона в окладе, а также инсталляции, состоящие из авторских произведений, имеющих самостоятельную художественную ценность, они регистрируются либо коллективной записью под индивидуальными номерами, либо под одним (суммарным) номером, общее количество предметов в котором определяется соответствующими дробями. арабскими цифрами.</w:t>
      </w:r>
      <w:bookmarkStart w:id="14" w:name="l532"/>
      <w:bookmarkStart w:id="15" w:name="l40"/>
      <w:bookmarkStart w:id="16" w:name="l533"/>
      <w:bookmarkEnd w:id="14"/>
      <w:bookmarkEnd w:id="15"/>
      <w:bookmarkEnd w:id="16"/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4.11.</w:t>
      </w:r>
      <w:r>
        <w:rPr>
          <w:color w:val="000000"/>
        </w:rPr>
        <w:t>На предметы, внесенные в книгу поступлений коллективной записью под индивидуальными номерами или под суммарным номером, составляется коллекционная (</w:t>
      </w:r>
      <w:proofErr w:type="spellStart"/>
      <w:r>
        <w:rPr>
          <w:color w:val="000000"/>
        </w:rPr>
        <w:t>попредметная</w:t>
      </w:r>
      <w:proofErr w:type="spellEnd"/>
      <w:r>
        <w:rPr>
          <w:color w:val="000000"/>
        </w:rPr>
        <w:t>) опись;</w:t>
      </w:r>
      <w:bookmarkStart w:id="17" w:name="l41"/>
      <w:bookmarkEnd w:id="17"/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случае, если в состав комплекса входят предметы основного, научно-вспомогательного фонда, фонда сырьевых материалов и экспериментального фонда коллекционная опись составляется соответственно по каждому фонду. Принадлежность к комплексу указывается в графе "описание" коллекционной описи.</w:t>
      </w:r>
    </w:p>
    <w:p w:rsidR="009A3118" w:rsidRDefault="009A3118" w:rsidP="009A3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Коллекционные (</w:t>
      </w:r>
      <w:proofErr w:type="spellStart"/>
      <w:r>
        <w:rPr>
          <w:color w:val="000000"/>
        </w:rPr>
        <w:t>попредметные</w:t>
      </w:r>
      <w:proofErr w:type="spellEnd"/>
      <w:r>
        <w:rPr>
          <w:color w:val="000000"/>
        </w:rPr>
        <w:t>) описи нумеруются, брошюруются подписываются администрацией музея, опечатываются, утверждаются учредителем, регистрируются в книге/журнале регистрации и хранятся в структурном подразделении музея, осуществляющем функции учета музейных предметов, как самостоятельное дело.</w:t>
      </w:r>
    </w:p>
    <w:p w:rsidR="009B4C44" w:rsidRDefault="009B4C44">
      <w:bookmarkStart w:id="18" w:name="_GoBack"/>
      <w:bookmarkEnd w:id="18"/>
    </w:p>
    <w:sectPr w:rsidR="009B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18"/>
    <w:rsid w:val="009A3118"/>
    <w:rsid w:val="009B4C44"/>
    <w:rsid w:val="00E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A80AD-F8A3-4053-A5D7-FBEF0656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9A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A3118"/>
  </w:style>
  <w:style w:type="character" w:customStyle="1" w:styleId="dt-r">
    <w:name w:val="dt-r"/>
    <w:basedOn w:val="a0"/>
    <w:rsid w:val="009A3118"/>
  </w:style>
  <w:style w:type="character" w:styleId="a3">
    <w:name w:val="Hyperlink"/>
    <w:basedOn w:val="a0"/>
    <w:uiPriority w:val="99"/>
    <w:semiHidden/>
    <w:unhideWhenUsed/>
    <w:rsid w:val="009A3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6968" TargetMode="External"/><Relationship Id="rId5" Type="http://schemas.openxmlformats.org/officeDocument/2006/relationships/hyperlink" Target="https://normativ.kontur.ru/document?moduleId=1&amp;documentId=416968" TargetMode="External"/><Relationship Id="rId4" Type="http://schemas.openxmlformats.org/officeDocument/2006/relationships/hyperlink" Target="https://normativ.kontur.ru/document?moduleId=1&amp;documentId=416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2024-03-31T07:18:00Z</dcterms:created>
  <dcterms:modified xsi:type="dcterms:W3CDTF">2024-03-31T07:47:00Z</dcterms:modified>
</cp:coreProperties>
</file>